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10" w:rsidRPr="00AA465D" w:rsidRDefault="000B0510" w:rsidP="0087204E">
      <w:pPr>
        <w:jc w:val="center"/>
        <w:outlineLvl w:val="0"/>
        <w:rPr>
          <w:rFonts w:ascii="宋体" w:eastAsia="宋体" w:hAnsi="宋体"/>
          <w:b/>
          <w:bCs/>
          <w:sz w:val="32"/>
          <w:szCs w:val="32"/>
          <w:lang w:eastAsia="zh-CN"/>
        </w:rPr>
      </w:pPr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《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有机化学</w:t>
      </w:r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1324"/>
        <w:gridCol w:w="83"/>
        <w:gridCol w:w="1113"/>
        <w:gridCol w:w="2063"/>
        <w:gridCol w:w="1311"/>
        <w:gridCol w:w="1324"/>
        <w:gridCol w:w="582"/>
        <w:gridCol w:w="999"/>
      </w:tblGrid>
      <w:tr w:rsidR="000B0510" w:rsidRPr="002E27E1">
        <w:trPr>
          <w:trHeight w:val="340"/>
          <w:jc w:val="center"/>
        </w:trPr>
        <w:tc>
          <w:tcPr>
            <w:tcW w:w="5185" w:type="dxa"/>
            <w:gridSpan w:val="5"/>
            <w:vAlign w:val="center"/>
          </w:tcPr>
          <w:p w:rsidR="000B0510" w:rsidRPr="002E27E1" w:rsidRDefault="000B0510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课程名称：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有机化学</w:t>
            </w:r>
          </w:p>
        </w:tc>
        <w:tc>
          <w:tcPr>
            <w:tcW w:w="4216" w:type="dxa"/>
            <w:gridSpan w:val="4"/>
            <w:vAlign w:val="center"/>
          </w:tcPr>
          <w:p w:rsidR="000B0510" w:rsidRPr="002E27E1" w:rsidRDefault="000B0510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（必修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1D2777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必修课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0B0510" w:rsidRPr="001D2777" w:rsidRDefault="000B0510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课程英文名称</w:t>
            </w:r>
            <w:proofErr w:type="spellEnd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Organic Chemistry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5185" w:type="dxa"/>
            <w:gridSpan w:val="5"/>
            <w:vAlign w:val="center"/>
          </w:tcPr>
          <w:p w:rsidR="000B0510" w:rsidRPr="001D2777" w:rsidRDefault="000B0510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总学时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周学时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学分：</w:t>
            </w:r>
            <w:r w:rsidRPr="001D2777">
              <w:rPr>
                <w:rFonts w:ascii="宋体" w:hAnsi="宋体" w:cs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8</w:t>
            </w:r>
            <w:r w:rsidRPr="001D2777">
              <w:rPr>
                <w:rFonts w:ascii="宋体" w:hAnsi="宋体" w:cs="宋体"/>
                <w:b/>
                <w:bCs/>
                <w:sz w:val="21"/>
                <w:szCs w:val="21"/>
              </w:rPr>
              <w:t>/3/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6" w:type="dxa"/>
            <w:gridSpan w:val="4"/>
            <w:vAlign w:val="center"/>
          </w:tcPr>
          <w:p w:rsidR="000B0510" w:rsidRPr="002E27E1" w:rsidRDefault="000B0510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其中实验（实训、讨论等）学时：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0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5185" w:type="dxa"/>
            <w:gridSpan w:val="5"/>
            <w:vAlign w:val="center"/>
          </w:tcPr>
          <w:p w:rsidR="000B0510" w:rsidRPr="001D2777" w:rsidRDefault="000B0510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先修课程：</w:t>
            </w:r>
            <w:r w:rsidRPr="0038388C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无机化学、分析化学</w:t>
            </w:r>
          </w:p>
        </w:tc>
        <w:tc>
          <w:tcPr>
            <w:tcW w:w="4216" w:type="dxa"/>
            <w:gridSpan w:val="4"/>
            <w:vAlign w:val="center"/>
          </w:tcPr>
          <w:p w:rsidR="000B0510" w:rsidRPr="002E27E1" w:rsidRDefault="000B0510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0B0510" w:rsidRPr="002E27E1">
        <w:trPr>
          <w:trHeight w:val="340"/>
          <w:jc w:val="center"/>
        </w:trPr>
        <w:tc>
          <w:tcPr>
            <w:tcW w:w="5185" w:type="dxa"/>
            <w:gridSpan w:val="5"/>
            <w:vAlign w:val="center"/>
          </w:tcPr>
          <w:p w:rsidR="000B0510" w:rsidRPr="002E27E1" w:rsidRDefault="000B0510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授课时间：</w:t>
            </w:r>
            <w:r w:rsidRPr="0087204E">
              <w:rPr>
                <w:rFonts w:ascii="宋体" w:hAnsi="宋体" w:cs="PMingLiU" w:hint="eastAsia"/>
                <w:b/>
                <w:bCs/>
                <w:sz w:val="21"/>
                <w:szCs w:val="21"/>
                <w:lang w:eastAsia="zh-CN"/>
              </w:rPr>
              <w:t>松山湖校区</w:t>
            </w:r>
            <w:r w:rsidRPr="0087204E"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PMingLiU" w:hint="eastAsia"/>
                <w:b/>
                <w:bCs/>
                <w:sz w:val="21"/>
                <w:szCs w:val="21"/>
                <w:lang w:eastAsia="zh-CN"/>
              </w:rPr>
              <w:t>星期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三</w:t>
            </w:r>
            <w:r w:rsidRPr="0087204E"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  <w:t>5-7</w:t>
            </w:r>
            <w:r w:rsidRPr="0087204E">
              <w:rPr>
                <w:rFonts w:ascii="宋体" w:hAnsi="宋体" w:cs="PMingLiU" w:hint="eastAsia"/>
                <w:b/>
                <w:bCs/>
                <w:sz w:val="21"/>
                <w:szCs w:val="21"/>
                <w:lang w:eastAsia="zh-CN"/>
              </w:rPr>
              <w:t>节</w:t>
            </w:r>
            <w:r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  <w:t>/1-1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6</w:t>
            </w:r>
            <w:r w:rsidRPr="0087204E">
              <w:rPr>
                <w:rFonts w:ascii="宋体" w:hAnsi="宋体" w:cs="PMingLiU" w:hint="eastAsia"/>
                <w:b/>
                <w:bCs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216" w:type="dxa"/>
            <w:gridSpan w:val="4"/>
            <w:vAlign w:val="center"/>
          </w:tcPr>
          <w:p w:rsidR="000B0510" w:rsidRPr="001D2777" w:rsidRDefault="000B0510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授课地点：</w:t>
            </w:r>
            <w:r w:rsidRPr="001D2777">
              <w:rPr>
                <w:rFonts w:ascii="宋体" w:hAnsi="宋体" w:cs="宋体"/>
                <w:b/>
                <w:bCs/>
                <w:sz w:val="21"/>
                <w:szCs w:val="21"/>
              </w:rPr>
              <w:t>7B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311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0B0510" w:rsidRPr="002E27E1" w:rsidRDefault="000B0510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授课对象：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2015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级环境工程</w:t>
            </w:r>
            <w:r w:rsidRPr="001D2777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专业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0B0510" w:rsidRPr="002E27E1" w:rsidRDefault="000B0510" w:rsidP="009A2B5C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1D2777">
              <w:rPr>
                <w:rFonts w:ascii="宋体" w:hAnsi="宋体" w:cs="PMingLiU" w:hint="eastAsia"/>
                <w:b/>
                <w:bCs/>
                <w:sz w:val="21"/>
                <w:szCs w:val="21"/>
                <w:lang w:eastAsia="zh-CN"/>
              </w:rPr>
              <w:t>生态环境与建筑工程学院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0B0510" w:rsidRPr="001D2777" w:rsidRDefault="000B0510" w:rsidP="009A2B5C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职称：</w:t>
            </w:r>
            <w:r w:rsidRPr="001D2777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刘啸天</w:t>
            </w:r>
            <w:r w:rsidRPr="001D2777"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Pr="001D2777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讲师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5185" w:type="dxa"/>
            <w:gridSpan w:val="5"/>
            <w:vAlign w:val="center"/>
          </w:tcPr>
          <w:p w:rsidR="000B0510" w:rsidRPr="002E27E1" w:rsidRDefault="000B0510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联系电话：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15992871977</w:t>
            </w:r>
          </w:p>
        </w:tc>
        <w:tc>
          <w:tcPr>
            <w:tcW w:w="4216" w:type="dxa"/>
            <w:gridSpan w:val="4"/>
            <w:vAlign w:val="center"/>
          </w:tcPr>
          <w:p w:rsidR="000B0510" w:rsidRPr="002E27E1" w:rsidRDefault="000B0510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Email: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893274160@qq.com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0B0510" w:rsidRPr="002E27E1" w:rsidRDefault="000B0510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答疑时间、地点与方式：</w:t>
            </w:r>
            <w:r w:rsidRPr="0035269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在课堂上主要利用上课前</w:t>
            </w:r>
            <w:r w:rsidRPr="0035269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</w:t>
            </w:r>
            <w:r w:rsidRPr="0035269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分钟、课间</w:t>
            </w:r>
            <w:r w:rsidRPr="0035269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10</w:t>
            </w:r>
            <w:r w:rsidRPr="0035269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分钟和课后</w:t>
            </w:r>
            <w:r w:rsidRPr="0035269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</w:t>
            </w:r>
            <w:r w:rsidRPr="0035269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分钟的时间段给同学们答疑；上课学生可自由提问；同学们在平时学习中遇到的问题可到机电楼</w:t>
            </w:r>
            <w:r w:rsidRPr="0035269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12K302</w:t>
            </w:r>
            <w:r w:rsidRPr="0035269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进行答疑。</w:t>
            </w:r>
            <w:r w:rsidRPr="0035269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B0510" w:rsidRP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0B0510" w:rsidRPr="002E27E1" w:rsidRDefault="000B0510" w:rsidP="0087204E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3022DF">
              <w:rPr>
                <w:rFonts w:ascii="宋体" w:hAnsi="宋体" w:cs="PMingLiU" w:hint="eastAsia"/>
                <w:b/>
                <w:bCs/>
                <w:lang w:eastAsia="zh-CN"/>
              </w:rPr>
              <w:t>√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:rsidR="000B0510" w:rsidRP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0B0510" w:rsidRPr="0087204E" w:rsidRDefault="000B0510" w:rsidP="0087204E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87204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B90DD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 w:rsidRPr="00B90DD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高占先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B90DD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《有机化学》，高等教育出版社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B90DD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2007.7 </w:t>
            </w:r>
            <w:r w:rsidRPr="00B90DD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</w:t>
            </w:r>
            <w:r w:rsidRPr="00B90DD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 w:rsidRPr="00B90DD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版。</w:t>
            </w:r>
          </w:p>
          <w:p w:rsidR="000B0510" w:rsidRPr="00C9452C" w:rsidRDefault="000B0510" w:rsidP="00C9452C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7204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姜文风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《有机化学学习指导》</w:t>
            </w:r>
            <w:r w:rsidRPr="00C9452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,</w:t>
            </w: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高等教育出版社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C9452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2007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</w:p>
          <w:p w:rsidR="000B0510" w:rsidRPr="00C9452C" w:rsidRDefault="000B0510" w:rsidP="008C4AD3">
            <w:pPr>
              <w:spacing w:after="0"/>
              <w:ind w:firstLineChars="750" w:firstLine="15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荣国斌等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《大学有机化学基础》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华东理工大学出版社，</w:t>
            </w:r>
            <w:r w:rsidRPr="00C9452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2000</w:t>
            </w: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年；</w:t>
            </w:r>
          </w:p>
          <w:p w:rsidR="000B0510" w:rsidRPr="00C9452C" w:rsidRDefault="000B0510" w:rsidP="008C4AD3">
            <w:pPr>
              <w:spacing w:after="0"/>
              <w:ind w:firstLineChars="750" w:firstLine="15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冯骏材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《有机化学习题精解</w:t>
            </w:r>
            <w:r w:rsidRPr="00C9452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》</w:t>
            </w:r>
            <w:r w:rsidRPr="00C9452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(</w:t>
            </w: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大学基础课化学类精解丛书</w:t>
            </w:r>
            <w:r w:rsidRPr="00C9452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C9452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1999</w:t>
            </w: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</w:p>
          <w:p w:rsidR="000B0510" w:rsidRPr="00C9452C" w:rsidRDefault="000B0510" w:rsidP="008C4AD3">
            <w:pPr>
              <w:spacing w:after="0"/>
              <w:ind w:firstLineChars="750" w:firstLine="15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袁履冰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《有机化学》</w:t>
            </w:r>
            <w:r w:rsidRPr="00C9452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(</w:t>
            </w: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第一版</w:t>
            </w:r>
            <w:r w:rsidRPr="00C9452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高等教育出版社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C9452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1999</w:t>
            </w:r>
            <w:r w:rsidRPr="00C9452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0B0510" w:rsidRPr="00AA4C02" w:rsidRDefault="000B0510" w:rsidP="008C4AD3">
            <w:pPr>
              <w:pStyle w:val="a9"/>
              <w:ind w:firstLineChars="175" w:firstLine="369"/>
            </w:pPr>
            <w:r w:rsidRPr="002E27E1">
              <w:rPr>
                <w:rFonts w:hAnsi="宋体" w:cs="宋体" w:hint="eastAsia"/>
                <w:b/>
                <w:bCs/>
              </w:rPr>
              <w:t>课程简介</w:t>
            </w:r>
            <w:r>
              <w:rPr>
                <w:rFonts w:hAnsi="宋体" w:cs="宋体" w:hint="eastAsia"/>
                <w:b/>
                <w:bCs/>
              </w:rPr>
              <w:t>：</w:t>
            </w:r>
            <w:r>
              <w:t xml:space="preserve"> </w:t>
            </w:r>
            <w:r w:rsidRPr="008761E5">
              <w:rPr>
                <w:rFonts w:cs="宋体" w:hint="eastAsia"/>
              </w:rPr>
              <w:t>《有机化学》课</w:t>
            </w:r>
            <w:r>
              <w:rPr>
                <w:rFonts w:cs="宋体" w:hint="eastAsia"/>
              </w:rPr>
              <w:t>程</w:t>
            </w:r>
            <w:r w:rsidRPr="008761E5">
              <w:rPr>
                <w:rFonts w:cs="宋体" w:hint="eastAsia"/>
              </w:rPr>
              <w:t>是环境科学与工程专业的一门重要的学科基础课程</w:t>
            </w:r>
            <w:r>
              <w:rPr>
                <w:rFonts w:cs="宋体" w:hint="eastAsia"/>
              </w:rPr>
              <w:t>，它既是一门理论课，又是一门具有极强应用性的课程。</w:t>
            </w:r>
            <w:r w:rsidRPr="008761E5">
              <w:rPr>
                <w:rFonts w:cs="宋体" w:hint="eastAsia"/>
              </w:rPr>
              <w:t>通过《有机化学》课程的学习，使</w:t>
            </w:r>
            <w:r>
              <w:rPr>
                <w:rFonts w:cs="宋体" w:hint="eastAsia"/>
              </w:rPr>
              <w:t>环境工程专业的</w:t>
            </w:r>
            <w:r w:rsidRPr="008761E5">
              <w:rPr>
                <w:rFonts w:cs="宋体" w:hint="eastAsia"/>
              </w:rPr>
              <w:t>学生系统地掌握有机化学基本知识，扩大知识面，提高自学能力和分</w:t>
            </w:r>
            <w:r>
              <w:rPr>
                <w:rFonts w:cs="宋体" w:hint="eastAsia"/>
              </w:rPr>
              <w:t>析、解决问题的能力。在教学中主要</w:t>
            </w:r>
            <w:r w:rsidRPr="008761E5">
              <w:rPr>
                <w:rFonts w:cs="宋体" w:hint="eastAsia"/>
              </w:rPr>
              <w:t>将有机化合物的结构和性质的关系作为</w:t>
            </w:r>
            <w:r>
              <w:rPr>
                <w:rFonts w:cs="宋体" w:hint="eastAsia"/>
              </w:rPr>
              <w:t>一条主线，把有机化学的基本理论知识系统地阐述清楚</w:t>
            </w:r>
            <w:r w:rsidRPr="008761E5">
              <w:rPr>
                <w:rFonts w:cs="宋体" w:hint="eastAsia"/>
              </w:rPr>
              <w:t>、讲够、讲透；</w:t>
            </w:r>
            <w:r>
              <w:rPr>
                <w:rFonts w:cs="宋体" w:hint="eastAsia"/>
              </w:rPr>
              <w:t>同时</w:t>
            </w:r>
            <w:r w:rsidRPr="008761E5">
              <w:rPr>
                <w:rFonts w:cs="宋体" w:hint="eastAsia"/>
              </w:rPr>
              <w:t>在教学过程中，在加强基础理论、基本知识和基本技能训练的同时，</w:t>
            </w:r>
            <w:r>
              <w:rPr>
                <w:rFonts w:cs="宋体" w:hint="eastAsia"/>
              </w:rPr>
              <w:t>更</w:t>
            </w:r>
            <w:r w:rsidRPr="008761E5">
              <w:rPr>
                <w:rFonts w:cs="宋体" w:hint="eastAsia"/>
              </w:rPr>
              <w:t>注重对学生分析问题和解决问题能力的培养</w:t>
            </w:r>
            <w:r>
              <w:rPr>
                <w:rFonts w:cs="宋体" w:hint="eastAsia"/>
              </w:rPr>
              <w:t>，积极开发学生的创新能力，培养学生具有较强的自学能力和独立分析和</w:t>
            </w:r>
            <w:r w:rsidRPr="008761E5">
              <w:rPr>
                <w:rFonts w:cs="宋体" w:hint="eastAsia"/>
              </w:rPr>
              <w:t>解决问题的能力</w:t>
            </w:r>
            <w:r>
              <w:rPr>
                <w:rFonts w:cs="宋体" w:hint="eastAsia"/>
              </w:rPr>
              <w:t>，并</w:t>
            </w:r>
            <w:r w:rsidRPr="008761E5">
              <w:rPr>
                <w:rFonts w:cs="宋体" w:hint="eastAsia"/>
              </w:rPr>
              <w:t>为其他专业课程奠定必要的有机化学知识和基本技能。</w:t>
            </w:r>
          </w:p>
        </w:tc>
      </w:tr>
      <w:tr w:rsidR="000B0510" w:rsidRPr="00917C66">
        <w:trPr>
          <w:trHeight w:val="2920"/>
          <w:jc w:val="center"/>
        </w:trPr>
        <w:tc>
          <w:tcPr>
            <w:tcW w:w="6496" w:type="dxa"/>
            <w:gridSpan w:val="6"/>
          </w:tcPr>
          <w:p w:rsidR="000B0510" w:rsidRPr="0087204E" w:rsidRDefault="000B0510" w:rsidP="008C4AD3">
            <w:pPr>
              <w:tabs>
                <w:tab w:val="left" w:pos="1440"/>
              </w:tabs>
              <w:spacing w:after="0" w:line="240" w:lineRule="atLeast"/>
              <w:ind w:firstLineChars="200" w:firstLine="422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87204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课程教学目标</w:t>
            </w:r>
          </w:p>
          <w:p w:rsidR="000B0510" w:rsidRPr="00AC5133" w:rsidRDefault="000B0510" w:rsidP="008C4AD3">
            <w:pPr>
              <w:spacing w:after="0"/>
              <w:ind w:firstLineChars="236" w:firstLine="496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、通过学习本课程，学生应理解</w:t>
            </w:r>
            <w:r w:rsidRPr="00AC513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有机化学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基础知识、</w:t>
            </w:r>
            <w:r w:rsidRPr="00AC513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国内外现状及有机化学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在环境</w:t>
            </w:r>
            <w:r w:rsidRPr="00AC513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工程方面的应用知识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，能运用系统思维的方法发现</w:t>
            </w:r>
            <w:r w:rsidRPr="00AC513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和解决问题，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培养出</w:t>
            </w:r>
            <w:r w:rsidRPr="00AC513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严谨、求实、敬业的工作和学习态度，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还应</w:t>
            </w:r>
            <w:r w:rsidRPr="00AC513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具有批判性思维和创造性能力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r w:rsidRPr="00AC513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0510" w:rsidRPr="00AC5133" w:rsidRDefault="000B0510" w:rsidP="008C4AD3">
            <w:pPr>
              <w:spacing w:after="0"/>
              <w:ind w:firstLineChars="236" w:firstLine="496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AC513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通过本课程的学习，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能具有运用相应知识</w:t>
            </w:r>
            <w:r w:rsidRPr="00AC513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分析和解决有机化学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过程中</w:t>
            </w:r>
            <w:r w:rsidRPr="00AC513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问题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的能力，</w:t>
            </w:r>
            <w:r w:rsidRPr="009D79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具备现代工程师的基本素质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与能力</w:t>
            </w:r>
            <w:r w:rsidRPr="00AC513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r w:rsidRPr="00AC513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0510" w:rsidRDefault="000B0510" w:rsidP="008C4AD3">
            <w:pPr>
              <w:spacing w:after="0"/>
              <w:ind w:firstLineChars="236" w:firstLine="496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A4109E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A4109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通过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灵活生动的教学</w:t>
            </w:r>
            <w:r w:rsidRPr="00A4109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来引起学生的注意、产生兴趣，使得学生对于本课程表示认同，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并具有分析及评价并解决问题的能力；同时，在学习</w:t>
            </w:r>
            <w:r w:rsidRPr="00A4109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过程中，教师引导学生逐步形成正确的价值观，具有良好的社会责任感和职业道德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，除此之外，还可以</w:t>
            </w:r>
            <w:r w:rsidRPr="00AC513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提高个人的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责任心、道德感、心理素质等；更需要具有开展科学研究、工程设计、技术改造、</w:t>
            </w:r>
            <w:r w:rsidRPr="00AC513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系统优化分析等工作的初步应用能力</w:t>
            </w:r>
            <w:r w:rsidRPr="00A4109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  <w:p w:rsidR="000B0510" w:rsidRPr="005736B2" w:rsidRDefault="000B0510" w:rsidP="008C4AD3">
            <w:pPr>
              <w:spacing w:after="0"/>
              <w:ind w:firstLineChars="236" w:firstLine="498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905" w:type="dxa"/>
            <w:gridSpan w:val="3"/>
          </w:tcPr>
          <w:p w:rsidR="000B0510" w:rsidRPr="00917C66" w:rsidRDefault="000B0510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本课程</w:t>
            </w: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0B0510" w:rsidRPr="00AB6936" w:rsidRDefault="000B0510" w:rsidP="00E86A34">
            <w:pPr>
              <w:spacing w:after="0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■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C1.</w:t>
            </w:r>
            <w:r w:rsidRPr="00AB693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具有运用数学和化学、生物学、物理学、力学等自然科学基础知识和环境工程专业知识的能力；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0510" w:rsidRPr="00AB6936" w:rsidRDefault="008C4AD3" w:rsidP="00E86A34">
            <w:pPr>
              <w:spacing w:after="0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 w:rsidR="000B0510"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C2. </w:t>
            </w:r>
            <w:r w:rsidR="000B0510" w:rsidRPr="00AB693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具有设计与实施实验方案，数据分析、信息综合等能力；</w:t>
            </w:r>
            <w:r w:rsidR="000B0510"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0510" w:rsidRPr="00AB6936" w:rsidRDefault="000B0510" w:rsidP="00E86A34">
            <w:pPr>
              <w:spacing w:after="0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C3. </w:t>
            </w:r>
            <w:r w:rsidRPr="00AB693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具有工程实践所需技术、技巧及使用工具的能力；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0510" w:rsidRPr="00AB6936" w:rsidRDefault="008C4AD3" w:rsidP="00E86A34">
            <w:pPr>
              <w:spacing w:after="0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■</w:t>
            </w:r>
            <w:r w:rsidR="000B0510"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C4. </w:t>
            </w:r>
            <w:r w:rsidR="000B0510" w:rsidRPr="00AB693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具有设计工程单元（设备）、流程或系统的能力；</w:t>
            </w:r>
            <w:r w:rsidR="000B0510"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0510" w:rsidRPr="00AB6936" w:rsidRDefault="000B0510" w:rsidP="00E86A34">
            <w:pPr>
              <w:spacing w:after="0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C5. </w:t>
            </w:r>
            <w:r w:rsidRPr="00AB693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具有项目管理、有效沟通与团队合作的能力；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0510" w:rsidRPr="00AB6936" w:rsidRDefault="000B0510" w:rsidP="00E86A34">
            <w:pPr>
              <w:spacing w:after="0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lastRenderedPageBreak/>
              <w:t>□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C6.</w:t>
            </w:r>
            <w:r w:rsidRPr="00AB693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具有发现、分析与解决复杂工程问题的能力；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0510" w:rsidRDefault="000B0510" w:rsidP="00E86A34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C7. </w:t>
            </w:r>
            <w:r w:rsidRPr="00AB693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能认清当前形势，了解工程技术对环境、社会及全球的影响，并培养持续学习的习惯与能力；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B0510" w:rsidRDefault="000B0510" w:rsidP="00735FDE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■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C8.</w:t>
            </w:r>
            <w:r w:rsidRPr="00AB693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理解专业伦理及社会责任。</w:t>
            </w:r>
          </w:p>
          <w:p w:rsidR="000B0510" w:rsidRPr="00A4109E" w:rsidRDefault="000B0510" w:rsidP="00735FDE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0B0510" w:rsidRPr="002E27E1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0B0510" w:rsidRPr="002E27E1" w:rsidRDefault="000B0510" w:rsidP="003E66A6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lastRenderedPageBreak/>
              <w:t>教学进程表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0B0510" w:rsidRPr="00A7128F" w:rsidRDefault="000B0510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0B0510" w:rsidRPr="00A7128F" w:rsidRDefault="000B0510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 w:rsidR="000B0510" w:rsidRPr="00A7128F" w:rsidRDefault="000B0510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3374" w:type="dxa"/>
            <w:gridSpan w:val="2"/>
            <w:tcMar>
              <w:left w:w="28" w:type="dxa"/>
              <w:right w:w="28" w:type="dxa"/>
            </w:tcMar>
            <w:vAlign w:val="center"/>
          </w:tcPr>
          <w:p w:rsidR="000B0510" w:rsidRPr="00A7128F" w:rsidRDefault="000B0510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906" w:type="dxa"/>
            <w:gridSpan w:val="2"/>
            <w:tcMar>
              <w:left w:w="28" w:type="dxa"/>
              <w:right w:w="28" w:type="dxa"/>
            </w:tcMar>
            <w:vAlign w:val="center"/>
          </w:tcPr>
          <w:p w:rsidR="000B0510" w:rsidRPr="00A7128F" w:rsidRDefault="000B0510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999" w:type="dxa"/>
            <w:tcMar>
              <w:left w:w="28" w:type="dxa"/>
              <w:right w:w="28" w:type="dxa"/>
            </w:tcMar>
            <w:vAlign w:val="center"/>
          </w:tcPr>
          <w:p w:rsidR="000B0510" w:rsidRPr="00A7128F" w:rsidRDefault="000B0510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作业安排</w:t>
            </w:r>
            <w:proofErr w:type="spellEnd"/>
          </w:p>
        </w:tc>
      </w:tr>
      <w:tr w:rsidR="000B0510" w:rsidRPr="002E27E1">
        <w:trPr>
          <w:trHeight w:val="430"/>
          <w:jc w:val="center"/>
        </w:trPr>
        <w:tc>
          <w:tcPr>
            <w:tcW w:w="602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324" w:type="dxa"/>
            <w:vAlign w:val="center"/>
          </w:tcPr>
          <w:p w:rsidR="000B0510" w:rsidRPr="005736B2" w:rsidRDefault="000B0510" w:rsidP="003436E6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有机物</w:t>
            </w:r>
            <w:r w:rsidRPr="009D79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结构与性能概论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Pr="005736B2" w:rsidRDefault="000B0510" w:rsidP="008C49A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重点是</w:t>
            </w:r>
            <w:r w:rsidRPr="008C49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了解有机化合物的特性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8C49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掌握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有机物的</w:t>
            </w:r>
            <w:r w:rsidRPr="008C49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结构式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写法、</w:t>
            </w:r>
            <w:r w:rsidRPr="008C49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有机物的分类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规则，以及</w:t>
            </w:r>
            <w:r w:rsidRPr="008C49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同分异构现象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；难点是理解共价键组成特点以及碳杂化形态。</w:t>
            </w: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3436E6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B0510" w:rsidRPr="002E27E1">
        <w:trPr>
          <w:trHeight w:val="340"/>
          <w:jc w:val="center"/>
        </w:trPr>
        <w:tc>
          <w:tcPr>
            <w:tcW w:w="602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1324" w:type="dxa"/>
            <w:vAlign w:val="center"/>
          </w:tcPr>
          <w:p w:rsidR="000B0510" w:rsidRPr="00BA7B75" w:rsidRDefault="000B0510" w:rsidP="00EF3DE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B7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有机物的分类和命名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Pr="00BA7B75" w:rsidRDefault="000B0510" w:rsidP="00B0061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重点是掌握有机化合物的分类方法，熟悉各类有机化合物及</w:t>
            </w:r>
            <w:r w:rsidRPr="00BA7B7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其普通命名法及系统命名法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；无难点。</w:t>
            </w: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第一次作业：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有机基团命名综述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602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324" w:type="dxa"/>
            <w:vAlign w:val="center"/>
          </w:tcPr>
          <w:p w:rsidR="000B0510" w:rsidRPr="00A7128F" w:rsidRDefault="000B0510" w:rsidP="00EF3DE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1C8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有机化合物的同分异构现象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Pr="006B1C8C" w:rsidRDefault="000B0510" w:rsidP="006B1C8C">
            <w:pPr>
              <w:pStyle w:val="a9"/>
              <w:rPr>
                <w:rFonts w:ascii="宋体"/>
              </w:rPr>
            </w:pPr>
            <w:r>
              <w:rPr>
                <w:rFonts w:ascii="宋体" w:cs="宋体" w:hint="eastAsia"/>
              </w:rPr>
              <w:t>重点是</w:t>
            </w:r>
            <w:r w:rsidRPr="006B1C8C">
              <w:rPr>
                <w:rFonts w:ascii="宋体" w:cs="宋体" w:hint="eastAsia"/>
              </w:rPr>
              <w:t>掌握有机化合物构造异构和顺反异构现象</w:t>
            </w:r>
            <w:r>
              <w:rPr>
                <w:rFonts w:ascii="宋体" w:cs="宋体" w:hint="eastAsia"/>
              </w:rPr>
              <w:t>，并熟练利用</w:t>
            </w:r>
            <w:r w:rsidRPr="006B1C8C">
              <w:rPr>
                <w:rFonts w:ascii="宋体" w:cs="宋体" w:hint="eastAsia"/>
              </w:rPr>
              <w:t>顺反标记法和</w:t>
            </w:r>
            <w:r w:rsidRPr="006B1C8C">
              <w:rPr>
                <w:rFonts w:ascii="宋体" w:cs="宋体"/>
              </w:rPr>
              <w:t>Z-E</w:t>
            </w:r>
            <w:r w:rsidRPr="006B1C8C">
              <w:rPr>
                <w:rFonts w:ascii="宋体" w:cs="宋体" w:hint="eastAsia"/>
              </w:rPr>
              <w:t>标记法</w:t>
            </w:r>
            <w:r>
              <w:rPr>
                <w:rFonts w:ascii="宋体" w:cs="宋体" w:hint="eastAsia"/>
              </w:rPr>
              <w:t>标识各类有机物；难点是构造与构型的判别。</w:t>
            </w: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B0510" w:rsidRPr="002E27E1">
        <w:trPr>
          <w:trHeight w:val="340"/>
          <w:jc w:val="center"/>
        </w:trPr>
        <w:tc>
          <w:tcPr>
            <w:tcW w:w="602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1324" w:type="dxa"/>
            <w:vAlign w:val="center"/>
          </w:tcPr>
          <w:p w:rsidR="000B0510" w:rsidRPr="00C456F5" w:rsidRDefault="000B0510" w:rsidP="00EF3DE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456F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饱和烃与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环烷烃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Pr="00C456F5" w:rsidRDefault="000B0510" w:rsidP="00C456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重点是</w:t>
            </w:r>
            <w:r w:rsidRPr="00C456F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烷烃和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环烷烃的命名和构造异构，烷烃的结构，烷烃的构象以及其物理、化学性质，</w:t>
            </w:r>
            <w:r w:rsidRPr="00C456F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小环烷烃的特殊性质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；难点是烷烃的构象及小环烷烃的反应形式。</w:t>
            </w: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第二次作业：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共四题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602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1324" w:type="dxa"/>
            <w:vAlign w:val="center"/>
          </w:tcPr>
          <w:p w:rsidR="000B0510" w:rsidRPr="00A7128F" w:rsidRDefault="000B0510" w:rsidP="00EF3DE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94F0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不饱和烃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：烯烃与炔烃（Ⅰ）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Pr="00846AB7" w:rsidRDefault="000B0510" w:rsidP="00C94F01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重点是需</w:t>
            </w:r>
            <w:r w:rsidRPr="00C94F0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掌握烯烃和炔烃的结构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C94F0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命名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C94F0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了解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物理性质，深刻理解</w:t>
            </w:r>
            <w:r w:rsidRPr="00C94F0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化学性质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和各类反应形式</w:t>
            </w:r>
            <w:r w:rsidRPr="00C94F0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难点是位置异构及各类加成反应的机理。</w:t>
            </w:r>
            <w:r w:rsidRPr="00A7128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B0510" w:rsidRPr="002E27E1">
        <w:trPr>
          <w:trHeight w:val="675"/>
          <w:jc w:val="center"/>
        </w:trPr>
        <w:tc>
          <w:tcPr>
            <w:tcW w:w="602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324" w:type="dxa"/>
            <w:vAlign w:val="center"/>
          </w:tcPr>
          <w:p w:rsidR="000B0510" w:rsidRPr="00A7128F" w:rsidRDefault="000B0510" w:rsidP="00EF3DE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94F0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不饱和烃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：烯烃与炔烃（Ⅱ）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Pr="00C47D56" w:rsidRDefault="000B0510" w:rsidP="00B0061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重点是</w:t>
            </w:r>
            <w:r w:rsidRPr="00C47D5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碳正离子及马氏规则的理论解释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C47D5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碳正离子的重排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，烯烃的自由基加成、聚合以及氧化反应，以及炔烃的化学性质；难点碳正离子的稳定性和取代基的诱导效应。</w:t>
            </w: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第三次作业：共五题</w:t>
            </w:r>
          </w:p>
        </w:tc>
      </w:tr>
      <w:tr w:rsidR="000B0510" w:rsidRPr="002E27E1">
        <w:trPr>
          <w:trHeight w:val="285"/>
          <w:jc w:val="center"/>
        </w:trPr>
        <w:tc>
          <w:tcPr>
            <w:tcW w:w="602" w:type="dxa"/>
            <w:vAlign w:val="center"/>
          </w:tcPr>
          <w:p w:rsidR="000B0510" w:rsidRPr="00A7128F" w:rsidRDefault="000B0510" w:rsidP="003436E6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24" w:type="dxa"/>
            <w:vAlign w:val="center"/>
          </w:tcPr>
          <w:p w:rsidR="000B0510" w:rsidRPr="00A7128F" w:rsidRDefault="000B0510" w:rsidP="00EF3DE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芳香烃（Ⅰ）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A7128F" w:rsidRDefault="000B0510" w:rsidP="003436E6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Pr="00773FA7" w:rsidRDefault="000B0510" w:rsidP="00B0061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重点是芳香物的</w:t>
            </w:r>
            <w:r w:rsidRPr="00773FA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异构和命名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773FA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芳香性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的特点以及</w:t>
            </w:r>
            <w:r w:rsidRPr="00773FA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苯结构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773FA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芳烃化学性质与亲电取代反应和定位规则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；难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点是</w:t>
            </w:r>
            <w:r w:rsidRPr="00773FA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芳环上亲电取代反应定位规则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及其应用。</w:t>
            </w: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B0510" w:rsidRPr="002E27E1">
        <w:trPr>
          <w:trHeight w:val="270"/>
          <w:jc w:val="center"/>
        </w:trPr>
        <w:tc>
          <w:tcPr>
            <w:tcW w:w="602" w:type="dxa"/>
            <w:vAlign w:val="center"/>
          </w:tcPr>
          <w:p w:rsidR="000B0510" w:rsidRPr="00A7128F" w:rsidRDefault="000B0510" w:rsidP="008C6942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324" w:type="dxa"/>
            <w:vAlign w:val="center"/>
          </w:tcPr>
          <w:p w:rsidR="000B0510" w:rsidRDefault="000B0510" w:rsidP="00EF3DE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芳香烃（Ⅱ），</w:t>
            </w:r>
          </w:p>
          <w:p w:rsidR="000B0510" w:rsidRPr="00A7128F" w:rsidRDefault="000B0510" w:rsidP="00EF3DE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卤代烃（Ⅰ）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A7128F" w:rsidRDefault="000B0510" w:rsidP="0039225C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Default="000B0510" w:rsidP="00A13BB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重点是稠环芳烃的结构和性质，以及</w:t>
            </w:r>
            <w:r w:rsidRPr="00A13B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卤代烃的分类和结构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A13B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命名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和</w:t>
            </w:r>
            <w:r w:rsidRPr="00A13B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物理性质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；难点是对碳卤键结构和极性的理解。</w:t>
            </w:r>
          </w:p>
          <w:p w:rsidR="000B0510" w:rsidRPr="00A13BB8" w:rsidRDefault="000B0510" w:rsidP="00A13BB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第四次作业：共四</w:t>
            </w: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0B0510" w:rsidRPr="002E27E1">
        <w:trPr>
          <w:trHeight w:val="450"/>
          <w:jc w:val="center"/>
        </w:trPr>
        <w:tc>
          <w:tcPr>
            <w:tcW w:w="602" w:type="dxa"/>
            <w:vAlign w:val="center"/>
          </w:tcPr>
          <w:p w:rsidR="000B0510" w:rsidRPr="00A7128F" w:rsidRDefault="000B0510" w:rsidP="008C6942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1324" w:type="dxa"/>
            <w:vAlign w:val="center"/>
          </w:tcPr>
          <w:p w:rsidR="000B0510" w:rsidRPr="00A7128F" w:rsidRDefault="000B0510" w:rsidP="00EF3DE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卤代烃（Ⅱ）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A7128F" w:rsidRDefault="000B0510" w:rsidP="0039225C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Pr="00B43E6B" w:rsidRDefault="000B0510" w:rsidP="00C73D6E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重点是掌握</w:t>
            </w:r>
            <w:r w:rsidRPr="00C73D6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卤代烃的化学性质与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亲核取代反应和消除反应的机理，并判断</w:t>
            </w:r>
            <w:r w:rsidRPr="00C73D6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消除反应的取向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C73D6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多卤代烃与金属有机化合物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的反应；难点是亲核取代反应的</w:t>
            </w:r>
            <w:r w:rsidRPr="00C431F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影响因素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以及</w:t>
            </w:r>
            <w:r w:rsidRPr="00C431F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有机镁化合物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的制备与</w:t>
            </w:r>
            <w:r w:rsidRPr="00C431F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在有机合成中的应用</w:t>
            </w:r>
            <w:r w:rsidRPr="00EF3DE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B0510" w:rsidRPr="002E27E1">
        <w:trPr>
          <w:trHeight w:val="300"/>
          <w:jc w:val="center"/>
        </w:trPr>
        <w:tc>
          <w:tcPr>
            <w:tcW w:w="602" w:type="dxa"/>
            <w:vAlign w:val="center"/>
          </w:tcPr>
          <w:p w:rsidR="000B0510" w:rsidRPr="00A7128F" w:rsidRDefault="000B0510" w:rsidP="008C6942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1324" w:type="dxa"/>
            <w:vAlign w:val="center"/>
          </w:tcPr>
          <w:p w:rsidR="000B0510" w:rsidRPr="00A7128F" w:rsidRDefault="000B0510" w:rsidP="00EF3DE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含氧化合物之</w:t>
            </w:r>
            <w:r w:rsidRPr="003B301D"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醇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、</w:t>
            </w:r>
            <w:r w:rsidRPr="003B301D"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酚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、</w:t>
            </w:r>
            <w:r w:rsidRPr="003B301D"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（Ⅰ）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A7128F" w:rsidRDefault="000B0510" w:rsidP="0039225C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Default="000B0510" w:rsidP="00FA2D8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重点是</w:t>
            </w:r>
            <w:r w:rsidRPr="00FA2D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掌握醇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和</w:t>
            </w:r>
            <w:r w:rsidRPr="00FA2D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酚的分类、命名、结构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FA2D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物理性质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，以及</w:t>
            </w:r>
            <w:r w:rsidRPr="00FA2D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化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学反应特性；难点是理解醇羟基和酚羟基为何具有不同的化学反应性质。</w:t>
            </w:r>
          </w:p>
          <w:p w:rsidR="000B0510" w:rsidRPr="00A7128F" w:rsidRDefault="000B0510" w:rsidP="00FA2D8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B0510" w:rsidRPr="002E27E1">
        <w:trPr>
          <w:trHeight w:val="340"/>
          <w:jc w:val="center"/>
        </w:trPr>
        <w:tc>
          <w:tcPr>
            <w:tcW w:w="602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324" w:type="dxa"/>
            <w:vAlign w:val="center"/>
          </w:tcPr>
          <w:p w:rsidR="000B0510" w:rsidRPr="00A7128F" w:rsidRDefault="000B0510" w:rsidP="00EF3DED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含氧化合物之</w:t>
            </w:r>
            <w:r w:rsidRPr="003B301D"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醇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、</w:t>
            </w:r>
            <w:r w:rsidRPr="003B301D"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酚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、</w:t>
            </w:r>
            <w:r w:rsidRPr="003B301D"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（Ⅱ）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Default="000B0510" w:rsidP="00B0061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重点是</w:t>
            </w:r>
            <w:r w:rsidRPr="00FA2D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了解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醚结构、</w:t>
            </w:r>
            <w:r w:rsidRPr="00FA2D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物理性质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以及</w:t>
            </w:r>
            <w:r w:rsidRPr="00FA2D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化学性质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；难点是环醚的应用以及反应形式。</w:t>
            </w:r>
          </w:p>
          <w:p w:rsidR="000B0510" w:rsidRPr="00A7128F" w:rsidRDefault="000B0510" w:rsidP="00B0061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第五</w:t>
            </w: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次作业：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共四题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602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24" w:type="dxa"/>
            <w:vAlign w:val="center"/>
          </w:tcPr>
          <w:p w:rsidR="000B0510" w:rsidRPr="00A7128F" w:rsidRDefault="000B0510" w:rsidP="00EF3DED">
            <w:pPr>
              <w:spacing w:after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含氧化合物之</w:t>
            </w:r>
            <w:r w:rsidRPr="003B301D"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醛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、</w:t>
            </w:r>
            <w:r w:rsidRPr="003B301D"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酮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（Ⅰ）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Pr="00FD6028" w:rsidRDefault="000B0510" w:rsidP="00FD6028">
            <w:pPr>
              <w:spacing w:after="0"/>
              <w:jc w:val="lef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重点是掌握醛和酮的命名、结构、物理性质及</w:t>
            </w:r>
            <w:r w:rsidRPr="00FD6028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化学性质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；难点是掌握影响羰基亲和取代反应的因素。</w:t>
            </w:r>
          </w:p>
          <w:p w:rsidR="000B0510" w:rsidRPr="00AA3AE1" w:rsidRDefault="000B0510" w:rsidP="00B00618">
            <w:pPr>
              <w:spacing w:after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B0510" w:rsidRPr="002E27E1">
        <w:trPr>
          <w:trHeight w:val="750"/>
          <w:jc w:val="center"/>
        </w:trPr>
        <w:tc>
          <w:tcPr>
            <w:tcW w:w="602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324" w:type="dxa"/>
            <w:vAlign w:val="center"/>
          </w:tcPr>
          <w:p w:rsidR="000B0510" w:rsidRPr="00A7128F" w:rsidRDefault="000B0510" w:rsidP="00EF3DED">
            <w:pPr>
              <w:spacing w:after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含氧化合物之</w:t>
            </w:r>
            <w:r w:rsidRPr="003B301D"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醛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、</w:t>
            </w:r>
            <w:r w:rsidRPr="003B301D">
              <w:rPr>
                <w:rFonts w:ascii="宋体" w:eastAsia="宋体" w:hAnsi="宋体" w:cs="宋体" w:hint="eastAsia"/>
                <w:sz w:val="21"/>
                <w:szCs w:val="21"/>
                <w:lang w:val="en-GB" w:eastAsia="zh-CN"/>
              </w:rPr>
              <w:t>酮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（Ⅱ）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Pr="00187C1E" w:rsidRDefault="000B0510" w:rsidP="00B00618">
            <w:pPr>
              <w:spacing w:after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重点是掌握醛酮的亲核加成、</w:t>
            </w:r>
            <w:r w:rsidRPr="00FD6028">
              <w:rPr>
                <w:rFonts w:ascii="宋体" w:eastAsia="宋体" w:hAnsi="宋体" w:cs="宋体" w:hint="eastAsia"/>
                <w:i/>
                <w:iCs/>
                <w:color w:val="000000"/>
                <w:sz w:val="21"/>
                <w:szCs w:val="21"/>
                <w:lang w:eastAsia="zh-CN"/>
              </w:rPr>
              <w:t>α</w:t>
            </w:r>
            <w:r w:rsidRPr="00FD6028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氢的反应以及</w:t>
            </w:r>
            <w:r w:rsidRPr="00FD6028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氧化还原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等化学反应特性；难点是</w:t>
            </w:r>
            <w:r w:rsidRPr="00187C1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了解亲核加成机理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并</w:t>
            </w:r>
            <w:r w:rsidRPr="00187C1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掌握其活性顺序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  <w:r w:rsidRPr="00EF3DED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第六</w:t>
            </w: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次作业：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共四题</w:t>
            </w:r>
          </w:p>
        </w:tc>
      </w:tr>
      <w:tr w:rsidR="000B0510" w:rsidRPr="002E27E1">
        <w:trPr>
          <w:trHeight w:val="1590"/>
          <w:jc w:val="center"/>
        </w:trPr>
        <w:tc>
          <w:tcPr>
            <w:tcW w:w="602" w:type="dxa"/>
            <w:vAlign w:val="center"/>
          </w:tcPr>
          <w:p w:rsidR="000B0510" w:rsidRDefault="000B0510" w:rsidP="003436E6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324" w:type="dxa"/>
            <w:vAlign w:val="center"/>
          </w:tcPr>
          <w:p w:rsidR="000B0510" w:rsidRPr="00A7128F" w:rsidRDefault="000B0510" w:rsidP="00EF3DED">
            <w:pPr>
              <w:spacing w:after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GB"/>
              </w:rPr>
              <w:t>含氧化合物之</w:t>
            </w:r>
            <w:r w:rsidRPr="003B301D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GB"/>
              </w:rPr>
              <w:t>羧酸及其衍生物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（Ⅰ）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A7128F" w:rsidRDefault="000B0510" w:rsidP="003436E6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Pr="0079524F" w:rsidRDefault="000B0510" w:rsidP="00B00618">
            <w:pPr>
              <w:spacing w:after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重点是</w:t>
            </w:r>
            <w:r w:rsidRPr="0079524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掌握羧酸及其衍生物的命名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79524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结构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及</w:t>
            </w:r>
            <w:r w:rsidRPr="0079524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物理性质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，并透彻了解</w:t>
            </w:r>
            <w:r w:rsidRPr="0079524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羧酸及其衍生物的化学性质</w:t>
            </w:r>
            <w:r w:rsidRPr="0079524F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79524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羧基中氢的反应，羰基碳上的反应，脱羧反应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；难点是</w:t>
            </w:r>
            <w:r w:rsidRPr="0079524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羧酸的结构与酸性的关系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B0510" w:rsidRPr="002E27E1">
        <w:trPr>
          <w:trHeight w:val="450"/>
          <w:jc w:val="center"/>
        </w:trPr>
        <w:tc>
          <w:tcPr>
            <w:tcW w:w="602" w:type="dxa"/>
            <w:vAlign w:val="center"/>
          </w:tcPr>
          <w:p w:rsidR="000B0510" w:rsidRDefault="000B0510" w:rsidP="003436E6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324" w:type="dxa"/>
            <w:vAlign w:val="center"/>
          </w:tcPr>
          <w:p w:rsidR="000B0510" w:rsidRDefault="000B0510" w:rsidP="00EF3DED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GB"/>
              </w:rPr>
              <w:t>含氧化合物之</w:t>
            </w:r>
            <w:r w:rsidRPr="003B301D"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GB"/>
              </w:rPr>
              <w:t>羧酸及其衍生物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（Ⅱ）</w:t>
            </w:r>
          </w:p>
        </w:tc>
        <w:tc>
          <w:tcPr>
            <w:tcW w:w="1196" w:type="dxa"/>
            <w:gridSpan w:val="2"/>
            <w:vAlign w:val="center"/>
          </w:tcPr>
          <w:p w:rsidR="000B0510" w:rsidRDefault="000B0510" w:rsidP="003436E6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Pr="00B43E6B" w:rsidRDefault="000B0510" w:rsidP="00333B7B">
            <w:pPr>
              <w:spacing w:after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重点是羧酸衍生物的制备方法以及酯、酰胺的化学性质；难点是</w:t>
            </w:r>
            <w:r w:rsidRPr="00333B7B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酰基上的亲核取代反应机理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333B7B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羧酸衍生物的相对反应活性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以及羧酸衍生物与</w:t>
            </w:r>
            <w:r w:rsidRPr="00333B7B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Grignard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试剂的反应特性。</w:t>
            </w: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第七</w:t>
            </w: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次作业：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共五题</w:t>
            </w:r>
          </w:p>
        </w:tc>
      </w:tr>
      <w:tr w:rsidR="000B0510" w:rsidRPr="002E27E1">
        <w:trPr>
          <w:trHeight w:val="300"/>
          <w:jc w:val="center"/>
        </w:trPr>
        <w:tc>
          <w:tcPr>
            <w:tcW w:w="602" w:type="dxa"/>
            <w:vAlign w:val="center"/>
          </w:tcPr>
          <w:p w:rsidR="000B0510" w:rsidRDefault="000B0510" w:rsidP="003436E6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1324" w:type="dxa"/>
            <w:vAlign w:val="center"/>
          </w:tcPr>
          <w:p w:rsidR="000B0510" w:rsidRDefault="000B0510" w:rsidP="00EF3DED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B301D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有机含氮化合物</w:t>
            </w:r>
          </w:p>
        </w:tc>
        <w:tc>
          <w:tcPr>
            <w:tcW w:w="1196" w:type="dxa"/>
            <w:gridSpan w:val="2"/>
            <w:vAlign w:val="center"/>
          </w:tcPr>
          <w:p w:rsidR="000B0510" w:rsidRDefault="000B0510" w:rsidP="003436E6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74" w:type="dxa"/>
            <w:gridSpan w:val="2"/>
            <w:vAlign w:val="center"/>
          </w:tcPr>
          <w:p w:rsidR="000B0510" w:rsidRDefault="000B0510" w:rsidP="00B43E6B">
            <w:pPr>
              <w:spacing w:after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重点是</w:t>
            </w:r>
            <w:r w:rsidRPr="006515FD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掌握硝基化合物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以及胺</w:t>
            </w:r>
            <w:r w:rsidRPr="006515FD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的命名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、结构及相应的</w:t>
            </w:r>
            <w:r w:rsidRPr="006515FD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化学性质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，并掌握</w:t>
            </w:r>
            <w:r w:rsidRPr="006515FD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重氮盐的制备及其应用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；难点是胺的结构对碱性强弱及亲核反应能力的影响。</w:t>
            </w:r>
            <w:r w:rsidRPr="00EF3DED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 w:rsidR="000B0510" w:rsidRPr="00B43E6B" w:rsidRDefault="000B0510" w:rsidP="00B43E6B">
            <w:pPr>
              <w:spacing w:after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0B0510" w:rsidRPr="00A7128F" w:rsidRDefault="000B0510" w:rsidP="00FE5C9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999" w:type="dxa"/>
            <w:vAlign w:val="center"/>
          </w:tcPr>
          <w:p w:rsidR="000B0510" w:rsidRPr="00A7128F" w:rsidRDefault="000B0510" w:rsidP="003436E6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第八</w:t>
            </w: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次作业：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共三题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1926" w:type="dxa"/>
            <w:gridSpan w:val="2"/>
            <w:vAlign w:val="center"/>
          </w:tcPr>
          <w:p w:rsidR="000B0510" w:rsidRPr="002E27E1" w:rsidRDefault="000B0510" w:rsidP="002E27E1">
            <w:pPr>
              <w:spacing w:after="0" w:line="240" w:lineRule="atLeast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1196" w:type="dxa"/>
            <w:gridSpan w:val="2"/>
            <w:vAlign w:val="center"/>
          </w:tcPr>
          <w:p w:rsidR="000B0510" w:rsidRPr="002E27E1" w:rsidRDefault="000B0510" w:rsidP="001E7ABE">
            <w:pPr>
              <w:spacing w:after="0" w:line="24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3374" w:type="dxa"/>
            <w:gridSpan w:val="2"/>
            <w:vAlign w:val="center"/>
          </w:tcPr>
          <w:p w:rsidR="000B0510" w:rsidRPr="002E27E1" w:rsidRDefault="000B0510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0B0510" w:rsidRPr="002E27E1" w:rsidRDefault="000B0510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999" w:type="dxa"/>
            <w:vAlign w:val="center"/>
          </w:tcPr>
          <w:p w:rsidR="000B0510" w:rsidRPr="002E27E1" w:rsidRDefault="000B0510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B0510" w:rsidRPr="002E27E1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0B0510" w:rsidRPr="002E27E1" w:rsidRDefault="000B0510" w:rsidP="00171228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bCs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成绩评定方法及标准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2009" w:type="dxa"/>
            <w:gridSpan w:val="3"/>
            <w:vAlign w:val="center"/>
          </w:tcPr>
          <w:p w:rsidR="000B0510" w:rsidRPr="002E27E1" w:rsidRDefault="000B0510" w:rsidP="002E27E1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考核内容</w:t>
            </w:r>
          </w:p>
        </w:tc>
        <w:tc>
          <w:tcPr>
            <w:tcW w:w="5811" w:type="dxa"/>
            <w:gridSpan w:val="4"/>
            <w:vAlign w:val="center"/>
          </w:tcPr>
          <w:p w:rsidR="000B0510" w:rsidRPr="002E27E1" w:rsidRDefault="000B0510" w:rsidP="002E27E1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1" w:type="dxa"/>
            <w:gridSpan w:val="2"/>
            <w:vAlign w:val="center"/>
          </w:tcPr>
          <w:p w:rsidR="000B0510" w:rsidRPr="002E27E1" w:rsidRDefault="000B0510" w:rsidP="002E27E1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权重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2009" w:type="dxa"/>
            <w:gridSpan w:val="3"/>
            <w:vAlign w:val="center"/>
          </w:tcPr>
          <w:p w:rsidR="000B0510" w:rsidRPr="00A7128F" w:rsidRDefault="000B0510" w:rsidP="00A7128F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平时考核</w:t>
            </w:r>
          </w:p>
        </w:tc>
        <w:tc>
          <w:tcPr>
            <w:tcW w:w="5811" w:type="dxa"/>
            <w:gridSpan w:val="4"/>
            <w:vAlign w:val="center"/>
          </w:tcPr>
          <w:p w:rsidR="000B0510" w:rsidRPr="00A7128F" w:rsidRDefault="000B0510" w:rsidP="00A7128F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F677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包括到堂情况、课堂讨论、完成作业情况，总分为</w:t>
            </w:r>
            <w:r w:rsidRPr="00AF677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分；</w:t>
            </w:r>
            <w:r w:rsidRPr="00AF677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无故旷课一次，直接扣除平时成绩的</w:t>
            </w:r>
            <w:r w:rsidRPr="00AF677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10</w:t>
            </w:r>
            <w:r w:rsidRPr="00AF677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分，迟到为</w:t>
            </w:r>
            <w:r w:rsidRPr="00AF677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 w:rsidRPr="00AF677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分，扣完为止</w:t>
            </w: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1" w:type="dxa"/>
            <w:gridSpan w:val="2"/>
            <w:vAlign w:val="center"/>
          </w:tcPr>
          <w:p w:rsidR="000B0510" w:rsidRPr="00A7128F" w:rsidRDefault="000B0510" w:rsidP="00A7128F">
            <w:pPr>
              <w:snapToGrid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 w:rsidRPr="00A7128F">
              <w:rPr>
                <w:rFonts w:ascii="宋体" w:eastAsia="宋体" w:hAnsi="宋体" w:cs="宋体"/>
                <w:sz w:val="21"/>
                <w:szCs w:val="21"/>
              </w:rPr>
              <w:t>0%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2009" w:type="dxa"/>
            <w:gridSpan w:val="3"/>
            <w:vAlign w:val="center"/>
          </w:tcPr>
          <w:p w:rsidR="000B0510" w:rsidRPr="00A7128F" w:rsidRDefault="000B0510" w:rsidP="00484D32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期末考核</w:t>
            </w:r>
            <w:proofErr w:type="spellEnd"/>
          </w:p>
        </w:tc>
        <w:tc>
          <w:tcPr>
            <w:tcW w:w="5811" w:type="dxa"/>
            <w:gridSpan w:val="4"/>
          </w:tcPr>
          <w:p w:rsidR="000B0510" w:rsidRPr="00A7128F" w:rsidRDefault="000B0510" w:rsidP="00484D32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按照期末考试成绩进行评价</w:t>
            </w:r>
          </w:p>
        </w:tc>
        <w:tc>
          <w:tcPr>
            <w:tcW w:w="1581" w:type="dxa"/>
            <w:gridSpan w:val="2"/>
            <w:vAlign w:val="center"/>
          </w:tcPr>
          <w:p w:rsidR="000B0510" w:rsidRPr="00A7128F" w:rsidRDefault="000B0510" w:rsidP="00484D32">
            <w:pPr>
              <w:snapToGrid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  <w:r w:rsidRPr="00A7128F">
              <w:rPr>
                <w:rFonts w:ascii="宋体" w:eastAsia="宋体" w:hAnsi="宋体" w:cs="宋体"/>
                <w:sz w:val="21"/>
                <w:szCs w:val="21"/>
              </w:rPr>
              <w:t>0%</w:t>
            </w:r>
          </w:p>
        </w:tc>
      </w:tr>
      <w:tr w:rsidR="000B0510" w:rsidRPr="002E27E1">
        <w:trPr>
          <w:trHeight w:val="340"/>
          <w:jc w:val="center"/>
        </w:trPr>
        <w:tc>
          <w:tcPr>
            <w:tcW w:w="2009" w:type="dxa"/>
            <w:gridSpan w:val="3"/>
            <w:vAlign w:val="center"/>
          </w:tcPr>
          <w:p w:rsidR="000B0510" w:rsidRPr="00A7128F" w:rsidRDefault="000B0510" w:rsidP="00A7128F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4"/>
          </w:tcPr>
          <w:p w:rsidR="000B0510" w:rsidRPr="00A7128F" w:rsidRDefault="000B0510" w:rsidP="00A7128F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0B0510" w:rsidRPr="00A7128F" w:rsidRDefault="000B0510" w:rsidP="00A7128F">
            <w:pPr>
              <w:snapToGrid w:val="0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B0510" w:rsidRPr="002E27E1">
        <w:trPr>
          <w:trHeight w:val="340"/>
          <w:jc w:val="center"/>
        </w:trPr>
        <w:tc>
          <w:tcPr>
            <w:tcW w:w="2009" w:type="dxa"/>
            <w:gridSpan w:val="3"/>
            <w:vAlign w:val="center"/>
          </w:tcPr>
          <w:p w:rsidR="000B0510" w:rsidRPr="002E27E1" w:rsidRDefault="000B0510" w:rsidP="002E27E1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0B0510" w:rsidRPr="002E27E1" w:rsidRDefault="000B0510" w:rsidP="002E27E1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0B0510" w:rsidRPr="002E27E1" w:rsidRDefault="000B0510" w:rsidP="002E27E1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B0510" w:rsidRPr="002E27E1">
        <w:trPr>
          <w:trHeight w:val="340"/>
          <w:jc w:val="center"/>
        </w:trPr>
        <w:tc>
          <w:tcPr>
            <w:tcW w:w="2009" w:type="dxa"/>
            <w:gridSpan w:val="3"/>
            <w:vAlign w:val="center"/>
          </w:tcPr>
          <w:p w:rsidR="000B0510" w:rsidRPr="002E27E1" w:rsidRDefault="000B0510" w:rsidP="002E27E1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0B0510" w:rsidRPr="002E27E1" w:rsidRDefault="000B0510" w:rsidP="002E27E1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0B0510" w:rsidRPr="002E27E1" w:rsidRDefault="000B0510" w:rsidP="002E27E1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B0510" w:rsidRPr="002E27E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0B0510" w:rsidRPr="00735FDE" w:rsidRDefault="000B0510" w:rsidP="002E27E1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2017.2.20</w:t>
            </w:r>
          </w:p>
        </w:tc>
      </w:tr>
      <w:tr w:rsidR="000B0510" w:rsidRPr="002E27E1">
        <w:trPr>
          <w:trHeight w:val="2351"/>
          <w:jc w:val="center"/>
        </w:trPr>
        <w:tc>
          <w:tcPr>
            <w:tcW w:w="9401" w:type="dxa"/>
            <w:gridSpan w:val="9"/>
          </w:tcPr>
          <w:p w:rsidR="000B0510" w:rsidRPr="002E27E1" w:rsidRDefault="000B0510" w:rsidP="002E27E1">
            <w:pPr>
              <w:tabs>
                <w:tab w:val="left" w:pos="1440"/>
              </w:tabs>
              <w:spacing w:after="0" w:line="240" w:lineRule="atLeast"/>
              <w:jc w:val="left"/>
              <w:outlineLvl w:val="0"/>
              <w:rPr>
                <w:rFonts w:ascii="宋体" w:eastAsia="宋体" w:hAnsi="宋体"/>
                <w:b/>
                <w:bCs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系（专业）课程委员会审查意见：</w:t>
            </w:r>
          </w:p>
          <w:p w:rsidR="000B0510" w:rsidRDefault="000B0510" w:rsidP="008C4AD3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  <w:p w:rsidR="000B0510" w:rsidRPr="002E27E1" w:rsidRDefault="000B0510" w:rsidP="008C4AD3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  <w:p w:rsidR="000B0510" w:rsidRPr="002E27E1" w:rsidRDefault="000B0510" w:rsidP="008C4AD3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0B0510" w:rsidRPr="002E27E1" w:rsidRDefault="000B0510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B0510" w:rsidRPr="002E27E1" w:rsidRDefault="000B0510" w:rsidP="002E27E1">
            <w:pPr>
              <w:spacing w:after="0" w:line="24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B0510" w:rsidRPr="002E27E1" w:rsidRDefault="000B0510" w:rsidP="002E27E1">
            <w:pPr>
              <w:spacing w:after="0" w:line="24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系（专业）课程委员会主任签名：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</w:p>
          <w:p w:rsidR="000B0510" w:rsidRPr="002E27E1" w:rsidRDefault="000B0510" w:rsidP="002E27E1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0B0510" w:rsidRDefault="000B0510" w:rsidP="008C4AD3">
      <w:pPr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注：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1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、课程教学目标：请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 w:cs="宋体"/>
          <w:b/>
          <w:bCs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。本课程教学目标须与授课对象的专业培养目标有一定的对应关系</w:t>
      </w:r>
    </w:p>
    <w:p w:rsidR="000B0510" w:rsidRDefault="000B0510" w:rsidP="008C4AD3">
      <w:pPr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 w:cs="宋体"/>
          <w:b/>
          <w:bCs/>
          <w:sz w:val="21"/>
          <w:szCs w:val="21"/>
          <w:lang w:eastAsia="zh-CN"/>
        </w:rPr>
        <w:t>http://jwc.dgut.edu.cn/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</w:p>
    <w:p w:rsidR="000B0510" w:rsidRDefault="000B0510" w:rsidP="008C4AD3">
      <w:pPr>
        <w:ind w:left="738" w:hangingChars="350" w:hanging="738"/>
        <w:outlineLvl w:val="0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小组讨论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实训</w:t>
      </w:r>
    </w:p>
    <w:p w:rsidR="000B0510" w:rsidRPr="00785779" w:rsidRDefault="000B0510" w:rsidP="002E27E1">
      <w:pPr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0B0510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CE" w:rsidRDefault="00677ACE" w:rsidP="00896971">
      <w:pPr>
        <w:spacing w:after="0"/>
      </w:pPr>
      <w:r>
        <w:separator/>
      </w:r>
    </w:p>
  </w:endnote>
  <w:endnote w:type="continuationSeparator" w:id="0">
    <w:p w:rsidR="00677ACE" w:rsidRDefault="00677ACE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CE" w:rsidRDefault="00677ACE" w:rsidP="00896971">
      <w:pPr>
        <w:spacing w:after="0"/>
      </w:pPr>
      <w:r>
        <w:separator/>
      </w:r>
    </w:p>
  </w:footnote>
  <w:footnote w:type="continuationSeparator" w:id="0">
    <w:p w:rsidR="00677ACE" w:rsidRDefault="00677ACE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23799B"/>
    <w:rsid w:val="00043D56"/>
    <w:rsid w:val="00051AFD"/>
    <w:rsid w:val="0006698D"/>
    <w:rsid w:val="00072177"/>
    <w:rsid w:val="00087B74"/>
    <w:rsid w:val="000933CA"/>
    <w:rsid w:val="00093705"/>
    <w:rsid w:val="000B0510"/>
    <w:rsid w:val="000B626E"/>
    <w:rsid w:val="000E0AE8"/>
    <w:rsid w:val="000E7E16"/>
    <w:rsid w:val="00124C9D"/>
    <w:rsid w:val="00125BD9"/>
    <w:rsid w:val="0014694F"/>
    <w:rsid w:val="0015258A"/>
    <w:rsid w:val="00155E5A"/>
    <w:rsid w:val="00171228"/>
    <w:rsid w:val="00176002"/>
    <w:rsid w:val="00180E03"/>
    <w:rsid w:val="00187C1E"/>
    <w:rsid w:val="001B31E9"/>
    <w:rsid w:val="001D2777"/>
    <w:rsid w:val="001D28E8"/>
    <w:rsid w:val="001E7ABE"/>
    <w:rsid w:val="001F20BC"/>
    <w:rsid w:val="002007C6"/>
    <w:rsid w:val="00207D94"/>
    <w:rsid w:val="00227119"/>
    <w:rsid w:val="002409A4"/>
    <w:rsid w:val="00257D04"/>
    <w:rsid w:val="00264C72"/>
    <w:rsid w:val="0026549A"/>
    <w:rsid w:val="00271F37"/>
    <w:rsid w:val="002978D1"/>
    <w:rsid w:val="002D17D4"/>
    <w:rsid w:val="002D3DC3"/>
    <w:rsid w:val="002E1125"/>
    <w:rsid w:val="002E27E1"/>
    <w:rsid w:val="003022DF"/>
    <w:rsid w:val="003044FA"/>
    <w:rsid w:val="00322C05"/>
    <w:rsid w:val="00333B7B"/>
    <w:rsid w:val="003436E6"/>
    <w:rsid w:val="00352692"/>
    <w:rsid w:val="003546FD"/>
    <w:rsid w:val="0037561C"/>
    <w:rsid w:val="0038388C"/>
    <w:rsid w:val="0039225C"/>
    <w:rsid w:val="003B301D"/>
    <w:rsid w:val="003B77F0"/>
    <w:rsid w:val="003C205B"/>
    <w:rsid w:val="003C66D8"/>
    <w:rsid w:val="003D6970"/>
    <w:rsid w:val="003E66A6"/>
    <w:rsid w:val="00445760"/>
    <w:rsid w:val="00457E42"/>
    <w:rsid w:val="00484D32"/>
    <w:rsid w:val="004B3994"/>
    <w:rsid w:val="004B5659"/>
    <w:rsid w:val="004E0481"/>
    <w:rsid w:val="004E3128"/>
    <w:rsid w:val="004E7804"/>
    <w:rsid w:val="004F128D"/>
    <w:rsid w:val="00515AB6"/>
    <w:rsid w:val="00544A99"/>
    <w:rsid w:val="005639AB"/>
    <w:rsid w:val="005736B2"/>
    <w:rsid w:val="005873CB"/>
    <w:rsid w:val="005C1C05"/>
    <w:rsid w:val="005F174F"/>
    <w:rsid w:val="00600404"/>
    <w:rsid w:val="006010AA"/>
    <w:rsid w:val="00630F89"/>
    <w:rsid w:val="006515FD"/>
    <w:rsid w:val="0065651C"/>
    <w:rsid w:val="006768D9"/>
    <w:rsid w:val="00677ACE"/>
    <w:rsid w:val="00682083"/>
    <w:rsid w:val="006823F2"/>
    <w:rsid w:val="006B1C8C"/>
    <w:rsid w:val="006C0058"/>
    <w:rsid w:val="00703FD7"/>
    <w:rsid w:val="007160BF"/>
    <w:rsid w:val="00723E10"/>
    <w:rsid w:val="00735FDE"/>
    <w:rsid w:val="00746D9D"/>
    <w:rsid w:val="007543E9"/>
    <w:rsid w:val="007653D3"/>
    <w:rsid w:val="00770F0D"/>
    <w:rsid w:val="00771338"/>
    <w:rsid w:val="00773FA7"/>
    <w:rsid w:val="00776AF2"/>
    <w:rsid w:val="00785779"/>
    <w:rsid w:val="0079524F"/>
    <w:rsid w:val="007A30F1"/>
    <w:rsid w:val="007F7E5C"/>
    <w:rsid w:val="008147FF"/>
    <w:rsid w:val="00815F78"/>
    <w:rsid w:val="00817735"/>
    <w:rsid w:val="0082411C"/>
    <w:rsid w:val="008269D6"/>
    <w:rsid w:val="00846AB7"/>
    <w:rsid w:val="008512DF"/>
    <w:rsid w:val="00855020"/>
    <w:rsid w:val="0085747A"/>
    <w:rsid w:val="00863A67"/>
    <w:rsid w:val="0087204E"/>
    <w:rsid w:val="008761E5"/>
    <w:rsid w:val="00885EED"/>
    <w:rsid w:val="00892ADC"/>
    <w:rsid w:val="00896971"/>
    <w:rsid w:val="008C49A9"/>
    <w:rsid w:val="008C4AD3"/>
    <w:rsid w:val="008C6942"/>
    <w:rsid w:val="008F7D23"/>
    <w:rsid w:val="0091174A"/>
    <w:rsid w:val="00917C66"/>
    <w:rsid w:val="0092160D"/>
    <w:rsid w:val="0098626A"/>
    <w:rsid w:val="009A2B5C"/>
    <w:rsid w:val="009B3EAE"/>
    <w:rsid w:val="009B431C"/>
    <w:rsid w:val="009D3079"/>
    <w:rsid w:val="009D3551"/>
    <w:rsid w:val="009D79E5"/>
    <w:rsid w:val="009E14D3"/>
    <w:rsid w:val="009E7E33"/>
    <w:rsid w:val="00A018A2"/>
    <w:rsid w:val="00A06272"/>
    <w:rsid w:val="00A06E43"/>
    <w:rsid w:val="00A13BB8"/>
    <w:rsid w:val="00A2629C"/>
    <w:rsid w:val="00A36413"/>
    <w:rsid w:val="00A36EDB"/>
    <w:rsid w:val="00A4109E"/>
    <w:rsid w:val="00A45F1F"/>
    <w:rsid w:val="00A538C4"/>
    <w:rsid w:val="00A60248"/>
    <w:rsid w:val="00A61D26"/>
    <w:rsid w:val="00A7128F"/>
    <w:rsid w:val="00A84D68"/>
    <w:rsid w:val="00A85774"/>
    <w:rsid w:val="00AA199F"/>
    <w:rsid w:val="00AA3AE1"/>
    <w:rsid w:val="00AA465D"/>
    <w:rsid w:val="00AA4C02"/>
    <w:rsid w:val="00AB6936"/>
    <w:rsid w:val="00AC5133"/>
    <w:rsid w:val="00AE48DD"/>
    <w:rsid w:val="00AF6779"/>
    <w:rsid w:val="00B00618"/>
    <w:rsid w:val="00B250BC"/>
    <w:rsid w:val="00B407E7"/>
    <w:rsid w:val="00B43E6B"/>
    <w:rsid w:val="00B90DDD"/>
    <w:rsid w:val="00BA7B75"/>
    <w:rsid w:val="00BB31DD"/>
    <w:rsid w:val="00BB35F5"/>
    <w:rsid w:val="00BC1D0A"/>
    <w:rsid w:val="00BE23E5"/>
    <w:rsid w:val="00BE60C3"/>
    <w:rsid w:val="00BE632F"/>
    <w:rsid w:val="00C41D05"/>
    <w:rsid w:val="00C431F0"/>
    <w:rsid w:val="00C456F5"/>
    <w:rsid w:val="00C47D56"/>
    <w:rsid w:val="00C6386A"/>
    <w:rsid w:val="00C705DD"/>
    <w:rsid w:val="00C73D6E"/>
    <w:rsid w:val="00C76FA2"/>
    <w:rsid w:val="00C9452C"/>
    <w:rsid w:val="00C94F01"/>
    <w:rsid w:val="00CA1AB8"/>
    <w:rsid w:val="00CC4A46"/>
    <w:rsid w:val="00CD2F8F"/>
    <w:rsid w:val="00CD670B"/>
    <w:rsid w:val="00CD7B3D"/>
    <w:rsid w:val="00D1531E"/>
    <w:rsid w:val="00D168A7"/>
    <w:rsid w:val="00D210AA"/>
    <w:rsid w:val="00D2691B"/>
    <w:rsid w:val="00D33D1F"/>
    <w:rsid w:val="00D45246"/>
    <w:rsid w:val="00D5543A"/>
    <w:rsid w:val="00D81748"/>
    <w:rsid w:val="00D90B51"/>
    <w:rsid w:val="00D95301"/>
    <w:rsid w:val="00D95634"/>
    <w:rsid w:val="00DB1398"/>
    <w:rsid w:val="00DB355D"/>
    <w:rsid w:val="00DB45CF"/>
    <w:rsid w:val="00DB5724"/>
    <w:rsid w:val="00DF5C03"/>
    <w:rsid w:val="00E0505F"/>
    <w:rsid w:val="00E413E8"/>
    <w:rsid w:val="00E440AB"/>
    <w:rsid w:val="00E53E23"/>
    <w:rsid w:val="00E86A34"/>
    <w:rsid w:val="00EC551E"/>
    <w:rsid w:val="00ED3FCA"/>
    <w:rsid w:val="00EF3DED"/>
    <w:rsid w:val="00F034B1"/>
    <w:rsid w:val="00F202C9"/>
    <w:rsid w:val="00F31667"/>
    <w:rsid w:val="00F3744C"/>
    <w:rsid w:val="00F56A5F"/>
    <w:rsid w:val="00F617C2"/>
    <w:rsid w:val="00F76D5B"/>
    <w:rsid w:val="00F8002C"/>
    <w:rsid w:val="00F96481"/>
    <w:rsid w:val="00F96D96"/>
    <w:rsid w:val="00FA2D8D"/>
    <w:rsid w:val="00FD6028"/>
    <w:rsid w:val="00FE22C8"/>
    <w:rsid w:val="00FE5C94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 w:cs="Calibri"/>
      <w:kern w:val="2"/>
      <w:lang w:eastAsia="zh-TW"/>
    </w:rPr>
  </w:style>
  <w:style w:type="character" w:customStyle="1" w:styleId="fontstyle01">
    <w:name w:val="fontstyle01"/>
    <w:basedOn w:val="a0"/>
    <w:uiPriority w:val="99"/>
    <w:rsid w:val="001D28E8"/>
    <w:rPr>
      <w:rFonts w:ascii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99"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locked/>
    <w:rsid w:val="003044FA"/>
    <w:rPr>
      <w:rFonts w:eastAsia="PMingLiU"/>
      <w:sz w:val="18"/>
      <w:szCs w:val="18"/>
      <w:lang w:eastAsia="en-US"/>
    </w:rPr>
  </w:style>
  <w:style w:type="paragraph" w:styleId="a8">
    <w:name w:val="Document Map"/>
    <w:basedOn w:val="a"/>
    <w:link w:val="Char2"/>
    <w:uiPriority w:val="99"/>
    <w:semiHidden/>
    <w:rsid w:val="0087204E"/>
    <w:rPr>
      <w:rFonts w:ascii="宋体" w:eastAsia="宋体" w:cs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locked/>
    <w:rsid w:val="0087204E"/>
    <w:rPr>
      <w:rFonts w:ascii="宋体" w:cs="宋体"/>
      <w:sz w:val="18"/>
      <w:szCs w:val="18"/>
      <w:lang w:eastAsia="en-US"/>
    </w:rPr>
  </w:style>
  <w:style w:type="paragraph" w:styleId="a9">
    <w:name w:val="Body Text"/>
    <w:basedOn w:val="a"/>
    <w:link w:val="Char3"/>
    <w:uiPriority w:val="99"/>
    <w:rsid w:val="0087204E"/>
    <w:pPr>
      <w:widowControl w:val="0"/>
    </w:pPr>
    <w:rPr>
      <w:rFonts w:eastAsia="宋体"/>
      <w:kern w:val="2"/>
      <w:sz w:val="21"/>
      <w:szCs w:val="21"/>
      <w:lang w:eastAsia="zh-CN"/>
    </w:rPr>
  </w:style>
  <w:style w:type="character" w:customStyle="1" w:styleId="Char3">
    <w:name w:val="正文文本 Char"/>
    <w:basedOn w:val="a0"/>
    <w:link w:val="a9"/>
    <w:uiPriority w:val="99"/>
    <w:locked/>
    <w:rsid w:val="0087204E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528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兰善红</cp:lastModifiedBy>
  <cp:revision>106</cp:revision>
  <cp:lastPrinted>2017-01-05T16:24:00Z</cp:lastPrinted>
  <dcterms:created xsi:type="dcterms:W3CDTF">2017-03-10T04:06:00Z</dcterms:created>
  <dcterms:modified xsi:type="dcterms:W3CDTF">2017-03-31T03:02:00Z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